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044" w14:textId="7CA6E09B" w:rsidR="001B7112" w:rsidRDefault="001B7112" w:rsidP="001B7112">
      <w:pPr>
        <w:spacing w:line="320" w:lineRule="exact"/>
        <w:jc w:val="left"/>
        <w:rPr>
          <w:sz w:val="28"/>
          <w:szCs w:val="28"/>
        </w:rPr>
      </w:pPr>
      <w:r w:rsidRPr="0039276E">
        <w:rPr>
          <w:rFonts w:hint="eastAsia"/>
          <w:sz w:val="28"/>
          <w:szCs w:val="28"/>
        </w:rPr>
        <w:t xml:space="preserve">薬剤師不在時間の概要（薬局）　　　　　　　　　　　　　　　　　　　</w:t>
      </w:r>
      <w:r w:rsidRPr="0039276E">
        <w:rPr>
          <w:rFonts w:hint="eastAsia"/>
          <w:sz w:val="28"/>
          <w:szCs w:val="28"/>
        </w:rPr>
        <w:t xml:space="preserve"> </w:t>
      </w:r>
    </w:p>
    <w:p w14:paraId="46037FE3" w14:textId="77777777"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Pr>
          <w:rFonts w:hint="eastAsia"/>
        </w:rPr>
        <w:t xml:space="preserve">　　　</w:t>
      </w:r>
    </w:p>
    <w:p w14:paraId="0F4DF10C" w14:textId="77777777" w:rsidR="00EC3ED3" w:rsidRPr="009D479D" w:rsidRDefault="00EC3ED3" w:rsidP="00EC3ED3">
      <w:pPr>
        <w:wordWrap w:val="0"/>
        <w:ind w:left="3969"/>
        <w:jc w:val="right"/>
        <w:rPr>
          <w:b/>
          <w:szCs w:val="16"/>
        </w:rPr>
      </w:pPr>
      <w:r w:rsidRPr="00D25B87">
        <w:rPr>
          <w:rFonts w:hint="eastAsia"/>
        </w:rPr>
        <w:t xml:space="preserve">薬局の名称　　　</w:t>
      </w:r>
      <w:r w:rsidRPr="00D25B87">
        <w:rPr>
          <w:rFonts w:hint="eastAsia"/>
          <w:u w:val="single"/>
        </w:rPr>
        <w:t xml:space="preserve">　　　　　　　　　　　　　　　</w:t>
      </w:r>
      <w:r w:rsidRPr="00D25B87">
        <w:rPr>
          <w:rFonts w:hint="eastAsia"/>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174E62B9" w:rsidR="001B7112" w:rsidRPr="0039276E" w:rsidRDefault="000D3868" w:rsidP="002C7D75">
            <w:pPr>
              <w:jc w:val="center"/>
              <w:rPr>
                <w:rFonts w:hAnsi="ＭＳ 明朝"/>
                <w:sz w:val="20"/>
              </w:rPr>
            </w:pPr>
            <w:sdt>
              <w:sdtPr>
                <w:rPr>
                  <w:rFonts w:hAnsi="ＭＳ 明朝" w:hint="eastAsia"/>
                  <w:sz w:val="18"/>
                </w:rPr>
                <w:id w:val="-581291503"/>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77777777" w:rsidR="007F75A1" w:rsidRPr="00941902" w:rsidRDefault="007F75A1" w:rsidP="002E3FDB">
            <w:pPr>
              <w:jc w:val="left"/>
              <w:rPr>
                <w:rFonts w:hAnsi="ＭＳ 明朝"/>
                <w:sz w:val="18"/>
              </w:rPr>
            </w:pP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352E0CE7" w:rsidR="001B7112" w:rsidRPr="0039276E" w:rsidRDefault="000D3868" w:rsidP="002C7D75">
            <w:pPr>
              <w:jc w:val="center"/>
            </w:pPr>
            <w:sdt>
              <w:sdtPr>
                <w:rPr>
                  <w:rFonts w:hAnsi="ＭＳ 明朝" w:hint="eastAsia"/>
                  <w:sz w:val="18"/>
                </w:rPr>
                <w:id w:val="-1491636207"/>
                <w:lock w:val="sdtLocked"/>
                <w14:checkbox>
                  <w14:checked w14:val="0"/>
                  <w14:checkedState w14:val="2611" w14:font="ＭＳ ゴシック"/>
                  <w14:uncheckedState w14:val="2610" w14:font="ＭＳ ゴシック"/>
                </w14:checkbox>
              </w:sdtPr>
              <w:sdtEndPr/>
              <w:sdtContent>
                <w:r w:rsidR="001B7DFE">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2CECF50"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3A4C5434" w:rsidR="001B7112" w:rsidRPr="00216F0E" w:rsidRDefault="000D3868" w:rsidP="002C7D75">
            <w:pPr>
              <w:jc w:val="center"/>
            </w:pPr>
            <w:sdt>
              <w:sdtPr>
                <w:rPr>
                  <w:rFonts w:hAnsi="ＭＳ 明朝" w:hint="eastAsia"/>
                  <w:sz w:val="18"/>
                </w:rPr>
                <w:id w:val="-3496456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13341251" w:rsidR="001B7112" w:rsidRPr="00535451" w:rsidRDefault="000D3868"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34B9F4FA" w:rsidR="001B7112" w:rsidRDefault="000D3868" w:rsidP="002C7D75">
            <w:pPr>
              <w:jc w:val="center"/>
            </w:pPr>
            <w:sdt>
              <w:sdtPr>
                <w:rPr>
                  <w:rFonts w:hAnsi="ＭＳ 明朝" w:hint="eastAsia"/>
                  <w:sz w:val="18"/>
                </w:rPr>
                <w:id w:val="-2124615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72861E9C" w:rsidR="005F4E56" w:rsidRPr="006434BD" w:rsidRDefault="00FB777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57171D49" w:rsidR="005F4E56" w:rsidRPr="006434BD" w:rsidRDefault="009802A7"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7D991750"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4091A064"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62ADE252"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E406" w14:textId="77777777" w:rsidR="00A94BD6" w:rsidRDefault="00A94BD6">
      <w:r>
        <w:separator/>
      </w:r>
    </w:p>
  </w:endnote>
  <w:endnote w:type="continuationSeparator" w:id="0">
    <w:p w14:paraId="57326D2C" w14:textId="77777777" w:rsidR="00A94BD6" w:rsidRDefault="00A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2636" w14:textId="77777777" w:rsidR="00A94BD6" w:rsidRDefault="00A94BD6">
      <w:r>
        <w:separator/>
      </w:r>
    </w:p>
  </w:footnote>
  <w:footnote w:type="continuationSeparator" w:id="0">
    <w:p w14:paraId="07423869" w14:textId="77777777" w:rsidR="00A94BD6" w:rsidRDefault="00A9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074814">
    <w:abstractNumId w:val="2"/>
  </w:num>
  <w:num w:numId="2" w16cid:durableId="175926088">
    <w:abstractNumId w:val="0"/>
  </w:num>
  <w:num w:numId="3" w16cid:durableId="11246170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9009F"/>
    <w:rsid w:val="0039276E"/>
    <w:rsid w:val="003A3A3C"/>
    <w:rsid w:val="003B5439"/>
    <w:rsid w:val="003C4970"/>
    <w:rsid w:val="003C5108"/>
    <w:rsid w:val="003C5B5A"/>
    <w:rsid w:val="00402EBB"/>
    <w:rsid w:val="0041041B"/>
    <w:rsid w:val="00425E72"/>
    <w:rsid w:val="0045204A"/>
    <w:rsid w:val="00465507"/>
    <w:rsid w:val="004845EC"/>
    <w:rsid w:val="004D71E1"/>
    <w:rsid w:val="004F523C"/>
    <w:rsid w:val="005007BC"/>
    <w:rsid w:val="005035AA"/>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802E36"/>
    <w:rsid w:val="00804E0C"/>
    <w:rsid w:val="0082024F"/>
    <w:rsid w:val="0082666F"/>
    <w:rsid w:val="0082736E"/>
    <w:rsid w:val="00827450"/>
    <w:rsid w:val="00846D1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26EB"/>
    <w:rsid w:val="00D629A0"/>
    <w:rsid w:val="00D6491D"/>
    <w:rsid w:val="00D954FD"/>
    <w:rsid w:val="00DA636C"/>
    <w:rsid w:val="00DB56A5"/>
    <w:rsid w:val="00DE6F97"/>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1EA-0E4F-4E22-AC42-75307BE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247</Characters>
  <Application>Microsoft Office Word</Application>
  <DocSecurity>0</DocSecurity>
  <Lines>2</Lines>
  <Paragraphs>2</Paragraphs>
  <ScaleCrop>false</ScaleCrop>
  <Company/>
  <LinksUpToDate>false</LinksUpToDate>
  <CharactersWithSpaces>1389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2023-11-01T12:41:00Z</dcterms:created>
  <dcterms:modified xsi:type="dcterms:W3CDTF">2023-11-01T12:41:00Z</dcterms:modified>
</cp:coreProperties>
</file>